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4BA9" w14:textId="17AEE3D5" w:rsidR="00DD330A" w:rsidRPr="005F466A" w:rsidRDefault="007A7720" w:rsidP="005F466A">
      <w:pPr>
        <w:pStyle w:val="Heading1"/>
        <w:numPr>
          <w:ilvl w:val="0"/>
          <w:numId w:val="0"/>
        </w:numPr>
        <w:rPr>
          <w:color w:val="000000" w:themeColor="text1"/>
        </w:rPr>
      </w:pPr>
      <w:bookmarkStart w:id="0" w:name="_Toc404528201"/>
      <w:bookmarkStart w:id="1" w:name="_GoBack"/>
      <w:bookmarkEnd w:id="1"/>
      <w:r w:rsidRPr="005F466A">
        <w:rPr>
          <w:color w:val="000000" w:themeColor="text1"/>
        </w:rPr>
        <w:t xml:space="preserve">Annex </w:t>
      </w:r>
      <w:r w:rsidR="00AB3964">
        <w:rPr>
          <w:color w:val="000000" w:themeColor="text1"/>
        </w:rPr>
        <w:t>3</w:t>
      </w:r>
      <w:r w:rsidR="00830733">
        <w:rPr>
          <w:color w:val="000000" w:themeColor="text1"/>
        </w:rPr>
        <w:t>:</w:t>
      </w:r>
      <w:r w:rsidRPr="005F466A">
        <w:rPr>
          <w:color w:val="000000" w:themeColor="text1"/>
        </w:rPr>
        <w:t xml:space="preserve">  Social and Environmental Screening </w:t>
      </w:r>
      <w:bookmarkEnd w:id="0"/>
      <w:r w:rsidR="005F466A" w:rsidRPr="005F466A">
        <w:rPr>
          <w:color w:val="000000" w:themeColor="text1"/>
        </w:rPr>
        <w:t>Report</w:t>
      </w:r>
    </w:p>
    <w:p w14:paraId="56BE997E" w14:textId="77777777" w:rsidR="00DD330A" w:rsidRPr="00AB3964" w:rsidRDefault="00DD330A" w:rsidP="00D21753">
      <w:pPr>
        <w:spacing w:before="200"/>
        <w:ind w:left="360"/>
        <w:rPr>
          <w:b/>
          <w:color w:val="000000" w:themeColor="text1"/>
          <w:sz w:val="24"/>
        </w:rPr>
      </w:pPr>
      <w:r w:rsidRPr="00AB3964">
        <w:rPr>
          <w:b/>
          <w:color w:val="000000" w:themeColor="tex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39B53F1D" w:rsidR="00DD330A" w:rsidRPr="00450804" w:rsidRDefault="00830733" w:rsidP="0084274F">
            <w:pPr>
              <w:rPr>
                <w:sz w:val="18"/>
                <w:szCs w:val="18"/>
              </w:rPr>
            </w:pPr>
            <w:r w:rsidRPr="00830733">
              <w:rPr>
                <w:sz w:val="18"/>
                <w:szCs w:val="18"/>
              </w:rPr>
              <w:t>Mobile Administrative and Legal Aid Services for Vulnerable Groups of Women and Men in Eastern Ukraine</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77777777" w:rsidR="00DD330A" w:rsidRPr="00450804" w:rsidRDefault="00DD330A" w:rsidP="0084274F">
            <w:pPr>
              <w:rPr>
                <w:sz w:val="18"/>
                <w:szCs w:val="18"/>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2283546D" w:rsidR="00DD330A" w:rsidRPr="00450804" w:rsidRDefault="00AB3964" w:rsidP="0084274F">
            <w:pPr>
              <w:rPr>
                <w:sz w:val="18"/>
                <w:szCs w:val="18"/>
              </w:rPr>
            </w:pPr>
            <w:r>
              <w:rPr>
                <w:sz w:val="18"/>
                <w:szCs w:val="18"/>
              </w:rPr>
              <w:t>Ukraine</w:t>
            </w:r>
          </w:p>
        </w:tc>
      </w:tr>
    </w:tbl>
    <w:p w14:paraId="4BCEE8F2" w14:textId="77777777" w:rsidR="00DD330A" w:rsidRDefault="00DD330A" w:rsidP="00DD330A">
      <w:pPr>
        <w:tabs>
          <w:tab w:val="left" w:pos="360"/>
        </w:tabs>
        <w:rPr>
          <w:szCs w:val="20"/>
        </w:rPr>
      </w:pPr>
    </w:p>
    <w:p w14:paraId="5BCB7629" w14:textId="77777777" w:rsidR="00DD330A" w:rsidRPr="00AB3964" w:rsidRDefault="00490422" w:rsidP="00E52EB5">
      <w:pPr>
        <w:spacing w:before="200"/>
        <w:ind w:left="360"/>
        <w:rPr>
          <w:b/>
          <w:color w:val="000000" w:themeColor="text1"/>
          <w:sz w:val="24"/>
        </w:rPr>
      </w:pPr>
      <w:r w:rsidRPr="00AB3964">
        <w:rPr>
          <w:b/>
          <w:color w:val="000000" w:themeColor="text1"/>
          <w:sz w:val="24"/>
        </w:rPr>
        <w:t xml:space="preserve">Part </w:t>
      </w:r>
      <w:r w:rsidR="00F41955" w:rsidRPr="00AB3964">
        <w:rPr>
          <w:b/>
          <w:color w:val="000000" w:themeColor="text1"/>
          <w:sz w:val="24"/>
        </w:rPr>
        <w:t>A</w:t>
      </w:r>
      <w:r w:rsidRPr="00AB3964">
        <w:rPr>
          <w:b/>
          <w:color w:val="000000" w:themeColor="text1"/>
          <w:sz w:val="24"/>
        </w:rPr>
        <w:t xml:space="preserve">. </w:t>
      </w:r>
      <w:r w:rsidR="00296E90" w:rsidRPr="00AB3964">
        <w:rPr>
          <w:b/>
          <w:color w:val="000000" w:themeColor="text1"/>
          <w:sz w:val="24"/>
        </w:rPr>
        <w:t>Integrating Overarching Principles to</w:t>
      </w:r>
      <w:r w:rsidR="00DD330A" w:rsidRPr="00AB3964">
        <w:rPr>
          <w:b/>
          <w:color w:val="000000" w:themeColor="text1"/>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67DC5A14" w14:textId="1173CB22" w:rsidR="00AB3964" w:rsidRPr="00AB3964" w:rsidRDefault="00AB3964" w:rsidP="00AB3964">
            <w:pPr>
              <w:keepNext/>
              <w:keepLines/>
              <w:tabs>
                <w:tab w:val="left" w:pos="432"/>
              </w:tabs>
              <w:spacing w:before="60" w:after="60"/>
              <w:outlineLvl w:val="7"/>
              <w:rPr>
                <w:sz w:val="18"/>
                <w:szCs w:val="18"/>
              </w:rPr>
            </w:pPr>
            <w:r>
              <w:rPr>
                <w:sz w:val="18"/>
                <w:szCs w:val="18"/>
              </w:rPr>
              <w:t>T</w:t>
            </w:r>
            <w:r w:rsidRPr="00AB3964">
              <w:rPr>
                <w:sz w:val="18"/>
                <w:szCs w:val="18"/>
              </w:rPr>
              <w:t>he Project will be applying a human rights-based and gender sensitive approach to the implementation of all its activities. In this context, the Project will:</w:t>
            </w:r>
          </w:p>
          <w:p w14:paraId="0B788C9B" w14:textId="7F6B9CC5" w:rsidR="00AB3964" w:rsidRPr="00AB3964" w:rsidRDefault="00AB3964" w:rsidP="00AB3964">
            <w:pPr>
              <w:pStyle w:val="ListParagraph"/>
              <w:keepNext/>
              <w:keepLines/>
              <w:numPr>
                <w:ilvl w:val="0"/>
                <w:numId w:val="22"/>
              </w:numPr>
              <w:tabs>
                <w:tab w:val="left" w:pos="432"/>
              </w:tabs>
              <w:ind w:left="446" w:hanging="446"/>
              <w:outlineLvl w:val="7"/>
              <w:rPr>
                <w:sz w:val="18"/>
                <w:szCs w:val="18"/>
              </w:rPr>
            </w:pPr>
            <w:r w:rsidRPr="00AB3964">
              <w:rPr>
                <w:sz w:val="18"/>
                <w:szCs w:val="18"/>
              </w:rPr>
              <w:t xml:space="preserve">train key stakeholders on the importance of knowing and understanding human rights (including those of women, the elderly and vulnerable groups) as well as the principle of gender equality when planning services to address issues of relevance of and equal access to services, </w:t>
            </w:r>
          </w:p>
          <w:p w14:paraId="2AB6D9E5" w14:textId="723E78EE" w:rsidR="00AB3964" w:rsidRPr="00AB3964" w:rsidRDefault="00AB3964" w:rsidP="00AB3964">
            <w:pPr>
              <w:pStyle w:val="ListParagraph"/>
              <w:keepNext/>
              <w:keepLines/>
              <w:numPr>
                <w:ilvl w:val="0"/>
                <w:numId w:val="22"/>
              </w:numPr>
              <w:tabs>
                <w:tab w:val="left" w:pos="432"/>
              </w:tabs>
              <w:spacing w:before="60" w:after="60"/>
              <w:outlineLvl w:val="7"/>
              <w:rPr>
                <w:sz w:val="18"/>
                <w:szCs w:val="18"/>
              </w:rPr>
            </w:pPr>
            <w:r w:rsidRPr="00AB3964">
              <w:rPr>
                <w:sz w:val="18"/>
                <w:szCs w:val="18"/>
              </w:rPr>
              <w:t>support them in contributing to human rights-based and gender-sensitive service development</w:t>
            </w:r>
          </w:p>
          <w:p w14:paraId="28C5AB9F" w14:textId="77777777" w:rsidR="00414FBA" w:rsidRDefault="00AB3964" w:rsidP="00AB3964">
            <w:pPr>
              <w:pStyle w:val="ListParagraph"/>
              <w:keepNext/>
              <w:keepLines/>
              <w:numPr>
                <w:ilvl w:val="0"/>
                <w:numId w:val="22"/>
              </w:numPr>
              <w:tabs>
                <w:tab w:val="left" w:pos="432"/>
              </w:tabs>
              <w:spacing w:before="60" w:after="60"/>
              <w:outlineLvl w:val="7"/>
              <w:rPr>
                <w:sz w:val="18"/>
                <w:szCs w:val="18"/>
              </w:rPr>
            </w:pPr>
            <w:r w:rsidRPr="00AB3964">
              <w:rPr>
                <w:sz w:val="18"/>
                <w:szCs w:val="18"/>
              </w:rPr>
              <w:t>complement this with focus groups and public consultations focused on the protection of human rights (including those of women and vulnerable groups) in the target regions so as to provide a sound analytical basis for all planning and development efforts</w:t>
            </w:r>
            <w:r w:rsidR="00E00FE3">
              <w:rPr>
                <w:sz w:val="18"/>
                <w:szCs w:val="18"/>
              </w:rPr>
              <w:t>.</w:t>
            </w:r>
          </w:p>
          <w:p w14:paraId="1889EE94" w14:textId="1E89DB01" w:rsidR="00E00FE3" w:rsidRPr="00E00FE3" w:rsidRDefault="00E00FE3" w:rsidP="00E00FE3">
            <w:pPr>
              <w:keepNext/>
              <w:keepLines/>
              <w:tabs>
                <w:tab w:val="left" w:pos="432"/>
              </w:tabs>
              <w:spacing w:before="60" w:after="60"/>
              <w:outlineLvl w:val="7"/>
              <w:rPr>
                <w:sz w:val="18"/>
                <w:szCs w:val="18"/>
              </w:rPr>
            </w:pPr>
            <w:r w:rsidRPr="00E00FE3">
              <w:rPr>
                <w:sz w:val="18"/>
                <w:szCs w:val="18"/>
              </w:rPr>
              <w:t xml:space="preserve">Through its interventions, the Project will ensure that the </w:t>
            </w:r>
            <w:r>
              <w:rPr>
                <w:sz w:val="18"/>
                <w:szCs w:val="18"/>
              </w:rPr>
              <w:t xml:space="preserve">mobile </w:t>
            </w:r>
            <w:proofErr w:type="spellStart"/>
            <w:r w:rsidRPr="00E00FE3">
              <w:rPr>
                <w:sz w:val="18"/>
                <w:szCs w:val="18"/>
              </w:rPr>
              <w:t>TsNAPs</w:t>
            </w:r>
            <w:proofErr w:type="spellEnd"/>
            <w:r w:rsidRPr="00E00FE3">
              <w:rPr>
                <w:sz w:val="18"/>
                <w:szCs w:val="18"/>
              </w:rPr>
              <w:t xml:space="preserve"> services are specifically adapted (in terms of physical access, case handling procedures and information provision) to the needs of elderly </w:t>
            </w:r>
            <w:r>
              <w:rPr>
                <w:sz w:val="18"/>
                <w:szCs w:val="18"/>
              </w:rPr>
              <w:t>people and people with</w:t>
            </w:r>
            <w:r w:rsidRPr="00E00FE3">
              <w:rPr>
                <w:sz w:val="18"/>
                <w:szCs w:val="18"/>
              </w:rPr>
              <w:t xml:space="preserve"> disabilities</w:t>
            </w:r>
            <w:r>
              <w:rPr>
                <w:sz w:val="18"/>
                <w:szCs w:val="18"/>
              </w:rPr>
              <w:t xml:space="preserve">. </w:t>
            </w:r>
          </w:p>
        </w:tc>
      </w:tr>
      <w:tr w:rsidR="00414FBA" w:rsidRPr="003843AE" w14:paraId="068C0817" w14:textId="77777777" w:rsidTr="00414FBA">
        <w:trPr>
          <w:trHeight w:val="296"/>
        </w:trPr>
        <w:tc>
          <w:tcPr>
            <w:tcW w:w="13248" w:type="dxa"/>
            <w:shd w:val="clear" w:color="auto" w:fill="C6D9F1" w:themeFill="text2" w:themeFillTint="33"/>
          </w:tcPr>
          <w:p w14:paraId="4F017901" w14:textId="7DA75F2D" w:rsidR="00414FBA" w:rsidRPr="00414FBA" w:rsidRDefault="00414FBA" w:rsidP="0084274F">
            <w:pPr>
              <w:spacing w:after="120"/>
              <w:contextualSpacing/>
              <w:rPr>
                <w:b/>
                <w:i/>
                <w:sz w:val="18"/>
                <w:szCs w:val="18"/>
              </w:rPr>
            </w:pPr>
            <w:r w:rsidRPr="00414FBA">
              <w:rPr>
                <w:rFonts w:eastAsia="Times New Roman"/>
                <w:b/>
                <w:i/>
                <w:sz w:val="18"/>
                <w:szCs w:val="18"/>
              </w:rPr>
              <w:t>Brief</w:t>
            </w:r>
            <w:r w:rsidR="00BC30D4">
              <w:rPr>
                <w:rFonts w:eastAsia="Times New Roman"/>
                <w:b/>
                <w:i/>
                <w:sz w:val="18"/>
                <w:szCs w:val="18"/>
              </w:rPr>
              <w:t xml:space="preserve">ly describe in the space below </w:t>
            </w:r>
            <w:r w:rsidRPr="00414FBA">
              <w:rPr>
                <w:rFonts w:eastAsia="Times New Roman"/>
                <w:b/>
                <w:i/>
                <w:sz w:val="18"/>
                <w:szCs w:val="18"/>
              </w:rPr>
              <w:t>how the Project is likely to improve gender equality and women’s empowerment</w:t>
            </w:r>
          </w:p>
        </w:tc>
      </w:tr>
      <w:tr w:rsidR="00414FBA" w:rsidRPr="00AC33A5" w14:paraId="0606E2F8" w14:textId="77777777" w:rsidTr="0087589A">
        <w:tc>
          <w:tcPr>
            <w:tcW w:w="13248" w:type="dxa"/>
          </w:tcPr>
          <w:p w14:paraId="658A4F08" w14:textId="106F41A9" w:rsidR="00414FBA" w:rsidRPr="00AB3964" w:rsidRDefault="00AB3964" w:rsidP="008C711F">
            <w:pPr>
              <w:tabs>
                <w:tab w:val="left" w:pos="432"/>
              </w:tabs>
              <w:spacing w:before="60" w:after="60"/>
              <w:rPr>
                <w:rFonts w:eastAsia="Times New Roman"/>
                <w:color w:val="000000" w:themeColor="text1"/>
                <w:sz w:val="18"/>
                <w:szCs w:val="18"/>
              </w:rPr>
            </w:pPr>
            <w:r>
              <w:rPr>
                <w:rFonts w:eastAsia="Times New Roman"/>
                <w:color w:val="000000" w:themeColor="text1"/>
                <w:sz w:val="18"/>
                <w:szCs w:val="18"/>
              </w:rPr>
              <w:t xml:space="preserve">Women represent more than 60% of the Project target group. The Project will aim at involving women in the decision making process relating to the design and set-up of the mobile administrative services. Women will also play an important role in the design of the intuitive Information Platform and of the Feedback system. Young volunteers (both women and men) will be attracted to the realization of the Project, in particular to provide information support to citizens visiting the mobile </w:t>
            </w:r>
            <w:proofErr w:type="spellStart"/>
            <w:r>
              <w:rPr>
                <w:rFonts w:eastAsia="Times New Roman"/>
                <w:color w:val="000000" w:themeColor="text1"/>
                <w:sz w:val="18"/>
                <w:szCs w:val="18"/>
              </w:rPr>
              <w:t>TsNAPs</w:t>
            </w:r>
            <w:proofErr w:type="spellEnd"/>
            <w:r>
              <w:rPr>
                <w:rFonts w:eastAsia="Times New Roman"/>
                <w:color w:val="000000" w:themeColor="text1"/>
                <w:sz w:val="18"/>
                <w:szCs w:val="18"/>
              </w:rPr>
              <w:t xml:space="preserve">. Young female volunteers and female staff will be trained to interface </w:t>
            </w:r>
            <w:r w:rsidR="00E00FE3">
              <w:rPr>
                <w:rFonts w:eastAsia="Times New Roman"/>
                <w:color w:val="000000" w:themeColor="text1"/>
                <w:sz w:val="18"/>
                <w:szCs w:val="18"/>
              </w:rPr>
              <w:t xml:space="preserve">with female visitors in the most suitable and effective manner (female visitors may include women suffering from gender based violence). </w:t>
            </w:r>
            <w:r>
              <w:rPr>
                <w:rFonts w:eastAsia="Times New Roman"/>
                <w:color w:val="000000" w:themeColor="text1"/>
                <w:sz w:val="18"/>
                <w:szCs w:val="18"/>
              </w:rPr>
              <w:t xml:space="preserve">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371A3651" w14:textId="77777777" w:rsidR="00E00FE3" w:rsidRPr="00E00FE3" w:rsidRDefault="00E00FE3" w:rsidP="00E00FE3">
            <w:pPr>
              <w:tabs>
                <w:tab w:val="left" w:pos="432"/>
              </w:tabs>
              <w:spacing w:before="60" w:after="60"/>
              <w:rPr>
                <w:rFonts w:eastAsia="Times New Roman"/>
                <w:color w:val="000000" w:themeColor="text1"/>
                <w:sz w:val="18"/>
                <w:szCs w:val="18"/>
              </w:rPr>
            </w:pPr>
            <w:r w:rsidRPr="00E00FE3">
              <w:rPr>
                <w:rFonts w:eastAsia="Times New Roman"/>
                <w:color w:val="000000" w:themeColor="text1"/>
                <w:sz w:val="18"/>
                <w:szCs w:val="18"/>
              </w:rPr>
              <w:t xml:space="preserve">The Project’s proposed initiatives, in particular the operations of mobile (vehicle-based) </w:t>
            </w:r>
            <w:proofErr w:type="spellStart"/>
            <w:r w:rsidRPr="00E00FE3">
              <w:rPr>
                <w:rFonts w:eastAsia="Times New Roman"/>
                <w:color w:val="000000" w:themeColor="text1"/>
                <w:sz w:val="18"/>
                <w:szCs w:val="18"/>
              </w:rPr>
              <w:t>TsNAPs</w:t>
            </w:r>
            <w:proofErr w:type="spellEnd"/>
            <w:r w:rsidRPr="00E00FE3">
              <w:rPr>
                <w:rFonts w:eastAsia="Times New Roman"/>
                <w:color w:val="000000" w:themeColor="text1"/>
                <w:sz w:val="18"/>
                <w:szCs w:val="18"/>
              </w:rPr>
              <w:t xml:space="preserve">, have been analyzed to check whether they will have significant negative social and environmental impacts (cf. Annex 3). This analysis points to the preliminary facts that, for each </w:t>
            </w:r>
            <w:proofErr w:type="spellStart"/>
            <w:r w:rsidRPr="00E00FE3">
              <w:rPr>
                <w:rFonts w:eastAsia="Times New Roman"/>
                <w:color w:val="000000" w:themeColor="text1"/>
                <w:sz w:val="18"/>
                <w:szCs w:val="18"/>
              </w:rPr>
              <w:t>TsNAP</w:t>
            </w:r>
            <w:proofErr w:type="spellEnd"/>
            <w:r w:rsidRPr="00E00FE3">
              <w:rPr>
                <w:rFonts w:eastAsia="Times New Roman"/>
                <w:color w:val="000000" w:themeColor="text1"/>
                <w:sz w:val="18"/>
                <w:szCs w:val="18"/>
              </w:rPr>
              <w:t xml:space="preserve"> per year (calculator.carbonfootprint.com)</w:t>
            </w:r>
          </w:p>
          <w:p w14:paraId="7BB66EBF" w14:textId="401E1650" w:rsidR="006D5CD3" w:rsidRPr="006D5CD3" w:rsidRDefault="00E00FE3" w:rsidP="006D5CD3">
            <w:pPr>
              <w:tabs>
                <w:tab w:val="left" w:pos="432"/>
              </w:tabs>
              <w:spacing w:before="60" w:after="60"/>
              <w:rPr>
                <w:rFonts w:eastAsia="Times New Roman"/>
                <w:color w:val="000000" w:themeColor="text1"/>
                <w:sz w:val="18"/>
                <w:szCs w:val="18"/>
              </w:rPr>
            </w:pPr>
            <w:r w:rsidRPr="00E00FE3">
              <w:rPr>
                <w:rFonts w:eastAsia="Times New Roman"/>
                <w:color w:val="000000" w:themeColor="text1"/>
                <w:sz w:val="18"/>
                <w:szCs w:val="18"/>
              </w:rPr>
              <w:t>-</w:t>
            </w:r>
            <w:r w:rsidRPr="00E00FE3">
              <w:rPr>
                <w:rFonts w:eastAsia="Times New Roman"/>
                <w:color w:val="000000" w:themeColor="text1"/>
                <w:sz w:val="18"/>
                <w:szCs w:val="18"/>
              </w:rPr>
              <w:tab/>
            </w:r>
            <w:r w:rsidR="006D5CD3" w:rsidRPr="006D5CD3">
              <w:rPr>
                <w:rFonts w:eastAsia="Times New Roman"/>
                <w:color w:val="000000" w:themeColor="text1"/>
                <w:sz w:val="18"/>
                <w:szCs w:val="18"/>
              </w:rPr>
              <w:t>the average carbon footprint will be 66,16 metric tons of CO2 (based on 240000 km covered by the 10 mobile units (diesel vans) over two of the three years of the Project)</w:t>
            </w:r>
          </w:p>
          <w:p w14:paraId="4CD3C25A" w14:textId="23EB49C4" w:rsidR="00414FBA" w:rsidRPr="008C711F" w:rsidRDefault="006D5CD3" w:rsidP="006D5CD3">
            <w:pPr>
              <w:tabs>
                <w:tab w:val="left" w:pos="432"/>
              </w:tabs>
              <w:spacing w:before="60" w:after="60"/>
              <w:rPr>
                <w:rFonts w:eastAsia="Times New Roman"/>
                <w:color w:val="595959" w:themeColor="text1" w:themeTint="A6"/>
                <w:sz w:val="18"/>
                <w:szCs w:val="18"/>
              </w:rPr>
            </w:pPr>
            <w:r w:rsidRPr="006D5CD3">
              <w:rPr>
                <w:rFonts w:eastAsia="Times New Roman"/>
                <w:color w:val="000000" w:themeColor="text1"/>
                <w:sz w:val="18"/>
                <w:szCs w:val="18"/>
              </w:rPr>
              <w:t>-</w:t>
            </w:r>
            <w:r w:rsidRPr="006D5CD3">
              <w:rPr>
                <w:rFonts w:eastAsia="Times New Roman"/>
                <w:color w:val="000000" w:themeColor="text1"/>
                <w:sz w:val="18"/>
                <w:szCs w:val="18"/>
              </w:rPr>
              <w:tab/>
              <w:t xml:space="preserve">the average secondary carbon footprint will reach 19.24 metric tons of CO2, based on a total usage of paper based products (e.g. brochures, information documents, forms, etc.) estimated at $ 12,000 and usage of telephones, mobile/cell phones, estimated at $ 4,200. </w:t>
            </w:r>
            <w:r>
              <w:rPr>
                <w:rFonts w:eastAsia="Times New Roman"/>
                <w:color w:val="000000" w:themeColor="text1"/>
                <w:sz w:val="18"/>
                <w:szCs w:val="18"/>
              </w:rPr>
              <w:t>The</w:t>
            </w:r>
            <w:r w:rsidRPr="006D5CD3">
              <w:rPr>
                <w:rFonts w:eastAsia="Times New Roman"/>
                <w:color w:val="000000" w:themeColor="text1"/>
                <w:sz w:val="18"/>
                <w:szCs w:val="18"/>
              </w:rPr>
              <w:t xml:space="preserve"> Project will be focused on minimizing as much as possible the use of paper documents in the Project offices as well as in the mobile </w:t>
            </w:r>
            <w:proofErr w:type="spellStart"/>
            <w:r w:rsidRPr="006D5CD3">
              <w:rPr>
                <w:rFonts w:eastAsia="Times New Roman"/>
                <w:color w:val="000000" w:themeColor="text1"/>
                <w:sz w:val="18"/>
                <w:szCs w:val="18"/>
              </w:rPr>
              <w:t>TsNAPs</w:t>
            </w:r>
            <w:proofErr w:type="spellEnd"/>
            <w:r w:rsidRPr="006D5CD3">
              <w:rPr>
                <w:rFonts w:eastAsia="Times New Roman"/>
                <w:color w:val="000000" w:themeColor="text1"/>
                <w:sz w:val="18"/>
                <w:szCs w:val="18"/>
              </w:rPr>
              <w:t xml:space="preserve"> by promoting the development of a paperless intuitive information system for its target group</w:t>
            </w:r>
            <w:r>
              <w:rPr>
                <w:rFonts w:eastAsia="Times New Roman"/>
                <w:color w:val="000000" w:themeColor="text1"/>
                <w:sz w:val="18"/>
                <w:szCs w:val="18"/>
              </w:rPr>
              <w:t xml:space="preserve">. </w:t>
            </w:r>
            <w:r w:rsidR="00E00FE3" w:rsidRPr="00E00FE3">
              <w:rPr>
                <w:rFonts w:eastAsia="Times New Roman"/>
                <w:color w:val="000000" w:themeColor="text1"/>
                <w:sz w:val="18"/>
                <w:szCs w:val="18"/>
              </w:rPr>
              <w:t xml:space="preserve">The Project implementation plan will include an Environmental Sustainability Strategy which will integrate all environmental aspects related to the Project activities – from general planning </w:t>
            </w:r>
            <w:r w:rsidR="00E00FE3" w:rsidRPr="00E00FE3">
              <w:rPr>
                <w:rFonts w:eastAsia="Times New Roman"/>
                <w:color w:val="000000" w:themeColor="text1"/>
                <w:sz w:val="18"/>
                <w:szCs w:val="18"/>
              </w:rPr>
              <w:lastRenderedPageBreak/>
              <w:t xml:space="preserve">to implementation and evaluation of each initiative. In particular, the Project will review the possibility to introduce the use of hybrid or electric vehicles to serve as mobile </w:t>
            </w:r>
            <w:proofErr w:type="spellStart"/>
            <w:r w:rsidR="00E00FE3" w:rsidRPr="00E00FE3">
              <w:rPr>
                <w:rFonts w:eastAsia="Times New Roman"/>
                <w:color w:val="000000" w:themeColor="text1"/>
                <w:sz w:val="18"/>
                <w:szCs w:val="18"/>
              </w:rPr>
              <w:t>TsNAPs</w:t>
            </w:r>
            <w:proofErr w:type="spellEnd"/>
            <w:r w:rsidR="00E00FE3" w:rsidRPr="00E00FE3">
              <w:rPr>
                <w:rFonts w:eastAsia="Times New Roman"/>
                <w:color w:val="000000" w:themeColor="text1"/>
                <w:sz w:val="18"/>
                <w:szCs w:val="18"/>
              </w:rPr>
              <w:t>.</w:t>
            </w:r>
          </w:p>
        </w:tc>
      </w:tr>
    </w:tbl>
    <w:p w14:paraId="41A95850" w14:textId="77777777" w:rsidR="00DD330A" w:rsidRPr="00FC7D8A" w:rsidRDefault="00DD330A" w:rsidP="00DD330A">
      <w:pPr>
        <w:rPr>
          <w:b/>
          <w:szCs w:val="20"/>
        </w:rPr>
      </w:pPr>
    </w:p>
    <w:p w14:paraId="18ADDC17" w14:textId="77777777" w:rsidR="001A0CAF" w:rsidRPr="00E00FE3" w:rsidRDefault="00490422" w:rsidP="008C711F">
      <w:pPr>
        <w:keepNext/>
        <w:spacing w:before="200"/>
        <w:ind w:left="360"/>
        <w:rPr>
          <w:b/>
          <w:color w:val="000000" w:themeColor="text1"/>
          <w:sz w:val="24"/>
        </w:rPr>
      </w:pPr>
      <w:r w:rsidRPr="00E00FE3">
        <w:rPr>
          <w:b/>
          <w:color w:val="000000" w:themeColor="text1"/>
          <w:sz w:val="24"/>
        </w:rPr>
        <w:t xml:space="preserve">Part </w:t>
      </w:r>
      <w:r w:rsidR="00F41955" w:rsidRPr="00E00FE3">
        <w:rPr>
          <w:b/>
          <w:color w:val="000000" w:themeColor="text1"/>
          <w:sz w:val="24"/>
        </w:rPr>
        <w:t>B</w:t>
      </w:r>
      <w:r w:rsidRPr="00E00FE3">
        <w:rPr>
          <w:b/>
          <w:color w:val="000000" w:themeColor="text1"/>
          <w:sz w:val="24"/>
        </w:rPr>
        <w:t xml:space="preserve">. </w:t>
      </w:r>
      <w:r w:rsidR="001A0CAF" w:rsidRPr="00E00FE3">
        <w:rPr>
          <w:b/>
          <w:color w:val="000000" w:themeColor="text1"/>
          <w:sz w:val="24"/>
        </w:rPr>
        <w:t xml:space="preserve">Identifying and Managing Social and Environmental </w:t>
      </w:r>
      <w:r w:rsidR="001A0CAF" w:rsidRPr="00E00FE3">
        <w:rPr>
          <w:b/>
          <w:color w:val="000000" w:themeColor="text1"/>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3D28434F" w:rsidR="00C055DB" w:rsidRPr="009B4F2C" w:rsidRDefault="00C055DB" w:rsidP="0084274F">
            <w:pPr>
              <w:rPr>
                <w:sz w:val="18"/>
                <w:szCs w:val="18"/>
              </w:rPr>
            </w:pPr>
            <w:r w:rsidRPr="009B4F2C">
              <w:rPr>
                <w:sz w:val="18"/>
                <w:szCs w:val="18"/>
              </w:rPr>
              <w:t xml:space="preserve">Risk 1: </w:t>
            </w:r>
            <w:r w:rsidR="00BE73D0">
              <w:rPr>
                <w:sz w:val="18"/>
                <w:szCs w:val="18"/>
              </w:rPr>
              <w:t>Release of pollutants (petrol exhaust from vehicles)</w:t>
            </w:r>
          </w:p>
        </w:tc>
        <w:tc>
          <w:tcPr>
            <w:tcW w:w="1080" w:type="dxa"/>
          </w:tcPr>
          <w:p w14:paraId="67E15CE1" w14:textId="1DFE0455" w:rsidR="00C055DB" w:rsidRPr="00C86F7C" w:rsidRDefault="00C055DB" w:rsidP="0084274F">
            <w:pPr>
              <w:rPr>
                <w:rFonts w:cs="Minion Pro"/>
                <w:sz w:val="18"/>
                <w:szCs w:val="18"/>
              </w:rPr>
            </w:pPr>
            <w:r w:rsidRPr="00C86F7C">
              <w:rPr>
                <w:rFonts w:cs="Minion Pro"/>
                <w:sz w:val="18"/>
                <w:szCs w:val="18"/>
              </w:rPr>
              <w:t xml:space="preserve">I = </w:t>
            </w:r>
            <w:r w:rsidR="00BE73D0">
              <w:rPr>
                <w:rFonts w:cs="Minion Pro"/>
                <w:sz w:val="18"/>
                <w:szCs w:val="18"/>
              </w:rPr>
              <w:t>2</w:t>
            </w:r>
          </w:p>
          <w:p w14:paraId="4BB50A64" w14:textId="7435A2A0" w:rsidR="00C055DB" w:rsidRPr="00C86F7C" w:rsidRDefault="00C055DB" w:rsidP="0084274F">
            <w:pPr>
              <w:rPr>
                <w:rFonts w:cs="Minion Pro"/>
                <w:sz w:val="18"/>
                <w:szCs w:val="18"/>
              </w:rPr>
            </w:pPr>
            <w:r w:rsidRPr="00C86F7C">
              <w:rPr>
                <w:rFonts w:cs="Minion Pro"/>
                <w:sz w:val="18"/>
                <w:szCs w:val="18"/>
              </w:rPr>
              <w:t>P =</w:t>
            </w:r>
            <w:r w:rsidR="00BE73D0">
              <w:rPr>
                <w:rFonts w:cs="Minion Pro"/>
                <w:sz w:val="18"/>
                <w:szCs w:val="18"/>
              </w:rPr>
              <w:t xml:space="preserve"> 4</w:t>
            </w:r>
          </w:p>
        </w:tc>
        <w:tc>
          <w:tcPr>
            <w:tcW w:w="1170" w:type="dxa"/>
          </w:tcPr>
          <w:p w14:paraId="7B5C7252" w14:textId="6B1C62B6" w:rsidR="00C055DB" w:rsidRPr="00BE73D0" w:rsidRDefault="00BE73D0" w:rsidP="0084274F">
            <w:pPr>
              <w:rPr>
                <w:sz w:val="18"/>
                <w:szCs w:val="18"/>
              </w:rPr>
            </w:pPr>
            <w:r w:rsidRPr="00BE73D0">
              <w:rPr>
                <w:sz w:val="18"/>
                <w:szCs w:val="18"/>
              </w:rPr>
              <w:t>Moderate</w:t>
            </w:r>
          </w:p>
        </w:tc>
        <w:tc>
          <w:tcPr>
            <w:tcW w:w="2610" w:type="dxa"/>
            <w:gridSpan w:val="2"/>
          </w:tcPr>
          <w:p w14:paraId="249AA562" w14:textId="08AFAAE3" w:rsidR="00C055DB" w:rsidRPr="00BE73D0" w:rsidRDefault="00BE73D0" w:rsidP="0084274F">
            <w:pPr>
              <w:rPr>
                <w:sz w:val="18"/>
                <w:szCs w:val="18"/>
              </w:rPr>
            </w:pPr>
            <w:r w:rsidRPr="00BE73D0">
              <w:rPr>
                <w:sz w:val="18"/>
                <w:szCs w:val="18"/>
              </w:rPr>
              <w:t>Mobile units will be expected to cover 50 km per day per unit</w:t>
            </w:r>
          </w:p>
        </w:tc>
        <w:tc>
          <w:tcPr>
            <w:tcW w:w="4770" w:type="dxa"/>
            <w:gridSpan w:val="2"/>
          </w:tcPr>
          <w:p w14:paraId="5BC7622A" w14:textId="77777777" w:rsidR="00C055DB" w:rsidRPr="00372083" w:rsidRDefault="00C055DB" w:rsidP="0084274F">
            <w:pPr>
              <w:rPr>
                <w:b/>
                <w:sz w:val="18"/>
                <w:szCs w:val="18"/>
              </w:rPr>
            </w:pPr>
          </w:p>
        </w:tc>
      </w:tr>
      <w:tr w:rsidR="00C055DB" w14:paraId="112CD22E" w14:textId="77777777" w:rsidTr="002A2BCE">
        <w:tc>
          <w:tcPr>
            <w:tcW w:w="3510" w:type="dxa"/>
            <w:vAlign w:val="center"/>
          </w:tcPr>
          <w:p w14:paraId="290A1806" w14:textId="77777777" w:rsidR="00C055DB" w:rsidRPr="00372083" w:rsidRDefault="00C055DB" w:rsidP="0084274F">
            <w:pPr>
              <w:rPr>
                <w:b/>
                <w:sz w:val="18"/>
                <w:szCs w:val="18"/>
              </w:rPr>
            </w:pPr>
            <w:r>
              <w:rPr>
                <w:sz w:val="18"/>
                <w:szCs w:val="18"/>
              </w:rPr>
              <w:t>Risk 2 ….</w:t>
            </w:r>
          </w:p>
        </w:tc>
        <w:tc>
          <w:tcPr>
            <w:tcW w:w="1080" w:type="dxa"/>
          </w:tcPr>
          <w:p w14:paraId="0348661D" w14:textId="77777777" w:rsidR="00C055DB" w:rsidRPr="00C86F7C" w:rsidRDefault="00C055DB" w:rsidP="0084274F">
            <w:pPr>
              <w:rPr>
                <w:rFonts w:cs="Minion Pro"/>
                <w:sz w:val="18"/>
                <w:szCs w:val="18"/>
              </w:rPr>
            </w:pPr>
            <w:r w:rsidRPr="00C86F7C">
              <w:rPr>
                <w:rFonts w:cs="Minion Pro"/>
                <w:sz w:val="18"/>
                <w:szCs w:val="18"/>
              </w:rPr>
              <w:t xml:space="preserve">I = </w:t>
            </w:r>
          </w:p>
          <w:p w14:paraId="0B822867"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1B549DF0" w14:textId="77777777" w:rsidR="00C055DB" w:rsidRPr="00372083" w:rsidRDefault="00C055DB" w:rsidP="0084274F">
            <w:pPr>
              <w:rPr>
                <w:b/>
                <w:sz w:val="18"/>
                <w:szCs w:val="18"/>
              </w:rPr>
            </w:pPr>
          </w:p>
        </w:tc>
        <w:tc>
          <w:tcPr>
            <w:tcW w:w="2610" w:type="dxa"/>
            <w:gridSpan w:val="2"/>
          </w:tcPr>
          <w:p w14:paraId="183BB23C" w14:textId="77777777" w:rsidR="00C055DB" w:rsidRPr="00372083" w:rsidRDefault="00C055DB" w:rsidP="0084274F">
            <w:pPr>
              <w:rPr>
                <w:b/>
                <w:sz w:val="18"/>
                <w:szCs w:val="18"/>
              </w:rPr>
            </w:pPr>
          </w:p>
        </w:tc>
        <w:tc>
          <w:tcPr>
            <w:tcW w:w="4770" w:type="dxa"/>
            <w:gridSpan w:val="2"/>
          </w:tcPr>
          <w:p w14:paraId="453158EA" w14:textId="77777777" w:rsidR="00C055DB" w:rsidRPr="00372083" w:rsidRDefault="00C055DB" w:rsidP="0084274F">
            <w:pPr>
              <w:rPr>
                <w:b/>
                <w:sz w:val="18"/>
                <w:szCs w:val="18"/>
              </w:rPr>
            </w:pPr>
          </w:p>
        </w:tc>
      </w:tr>
      <w:tr w:rsidR="00C055DB" w14:paraId="112B2C44" w14:textId="77777777" w:rsidTr="002A2BCE">
        <w:tc>
          <w:tcPr>
            <w:tcW w:w="3510" w:type="dxa"/>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3BCA93A" w14:textId="77777777" w:rsidR="00C055DB" w:rsidRPr="00372083" w:rsidRDefault="00C055DB" w:rsidP="0084274F">
            <w:pPr>
              <w:rPr>
                <w:b/>
                <w:sz w:val="18"/>
                <w:szCs w:val="18"/>
              </w:rPr>
            </w:pPr>
          </w:p>
        </w:tc>
        <w:tc>
          <w:tcPr>
            <w:tcW w:w="2610"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2A2BCE">
        <w:tc>
          <w:tcPr>
            <w:tcW w:w="3510" w:type="dxa"/>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67E5ECEC" w14:textId="77777777" w:rsidR="00C055DB" w:rsidRPr="00372083" w:rsidRDefault="00C055DB" w:rsidP="0084274F">
            <w:pPr>
              <w:rPr>
                <w:b/>
                <w:sz w:val="18"/>
                <w:szCs w:val="18"/>
              </w:rPr>
            </w:pPr>
          </w:p>
        </w:tc>
        <w:tc>
          <w:tcPr>
            <w:tcW w:w="2610"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2A2BCE">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170" w:type="dxa"/>
          </w:tcPr>
          <w:p w14:paraId="2F921DD9" w14:textId="77777777" w:rsidR="00C055DB" w:rsidRPr="00372083" w:rsidRDefault="00C055DB" w:rsidP="0084274F">
            <w:pPr>
              <w:rPr>
                <w:b/>
                <w:sz w:val="18"/>
                <w:szCs w:val="18"/>
              </w:rPr>
            </w:pPr>
          </w:p>
        </w:tc>
        <w:tc>
          <w:tcPr>
            <w:tcW w:w="2610"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C195903" w14:textId="77777777" w:rsidR="00C055DB" w:rsidRPr="00372083" w:rsidRDefault="00C055DB" w:rsidP="00C055DB">
            <w:pPr>
              <w:rPr>
                <w:b/>
                <w:sz w:val="18"/>
                <w:szCs w:val="18"/>
              </w:rPr>
            </w:pP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6DE1EAA6" w:rsidR="00C055DB" w:rsidRPr="00372083" w:rsidRDefault="00BE73D0" w:rsidP="00C055DB">
            <w:pPr>
              <w:ind w:left="-2230" w:firstLine="2230"/>
              <w:rPr>
                <w:b/>
                <w:sz w:val="18"/>
                <w:szCs w:val="18"/>
              </w:rPr>
            </w:pPr>
            <w:r>
              <w:rPr>
                <w:rFonts w:ascii="Segoe UI Symbol" w:hAnsi="Segoe UI Symbol" w:cs="Segoe UI Symbol"/>
                <w:b/>
                <w:szCs w:val="20"/>
              </w:rPr>
              <w:t>X</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4E17C94E" w:rsidR="00F536BB" w:rsidRPr="00EF0E8F" w:rsidRDefault="00BE73D0" w:rsidP="00C055DB">
            <w:pPr>
              <w:tabs>
                <w:tab w:val="left" w:pos="360"/>
              </w:tabs>
              <w:rPr>
                <w:sz w:val="18"/>
                <w:szCs w:val="18"/>
              </w:rPr>
            </w:pPr>
            <w:r>
              <w:rPr>
                <w:rFonts w:ascii="Segoe UI Symbol" w:hAnsi="Segoe UI Symbol" w:cs="Segoe UI Symbol"/>
                <w:b/>
                <w:szCs w:val="20"/>
              </w:rPr>
              <w:t>X</w:t>
            </w:r>
          </w:p>
        </w:tc>
        <w:tc>
          <w:tcPr>
            <w:tcW w:w="4747" w:type="dxa"/>
          </w:tcPr>
          <w:p w14:paraId="7F445195" w14:textId="40B64973" w:rsidR="00F536BB" w:rsidRPr="00EF0E8F" w:rsidRDefault="00BE73D0" w:rsidP="00C055DB">
            <w:pPr>
              <w:tabs>
                <w:tab w:val="left" w:pos="360"/>
              </w:tabs>
              <w:rPr>
                <w:sz w:val="18"/>
                <w:szCs w:val="18"/>
              </w:rPr>
            </w:pPr>
            <w:r w:rsidRPr="00BE73D0">
              <w:rPr>
                <w:sz w:val="18"/>
                <w:szCs w:val="18"/>
              </w:rPr>
              <w:t xml:space="preserve">the Project will review the possibility to introduce the use of hybrid or electric vehicles to serve as mobile </w:t>
            </w:r>
            <w:proofErr w:type="spellStart"/>
            <w:r w:rsidRPr="00BE73D0">
              <w:rPr>
                <w:sz w:val="18"/>
                <w:szCs w:val="18"/>
              </w:rPr>
              <w:t>TsNAPs</w:t>
            </w:r>
            <w:proofErr w:type="spellEnd"/>
            <w:r w:rsidRPr="00BE73D0">
              <w:rPr>
                <w:sz w:val="18"/>
                <w:szCs w:val="18"/>
              </w:rPr>
              <w:t>.</w:t>
            </w:r>
            <w:r>
              <w:rPr>
                <w:sz w:val="18"/>
                <w:szCs w:val="18"/>
              </w:rPr>
              <w:t xml:space="preserve"> The conditions in which the Project will work, however (conflict affected area) may prevent it to adopt such type of vehicles. </w:t>
            </w: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BC30D4">
          <w:pgSz w:w="15840" w:h="12240" w:orient="landscape"/>
          <w:pgMar w:top="603"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00B7B3D2" w:rsidR="008F36AD" w:rsidRPr="002E0918" w:rsidRDefault="005F466A"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464D8B9E" w:rsidR="00F07AAC" w:rsidRPr="002E0918" w:rsidRDefault="005F466A"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08AB8D8B" w:rsidR="00F07AAC" w:rsidRPr="002E0918" w:rsidRDefault="005F466A"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1B85077E" w:rsidR="00F07AAC" w:rsidRPr="002E0918" w:rsidRDefault="005F466A"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2F7C123C" w:rsidR="00F07AAC" w:rsidRPr="00AB3964" w:rsidRDefault="005F466A" w:rsidP="00D0789F">
            <w:pPr>
              <w:tabs>
                <w:tab w:val="left" w:pos="810"/>
              </w:tabs>
              <w:rPr>
                <w:color w:val="000000" w:themeColor="text1"/>
                <w:sz w:val="18"/>
                <w:szCs w:val="18"/>
              </w:rPr>
            </w:pPr>
            <w:r w:rsidRPr="00AB3964">
              <w:rPr>
                <w:color w:val="000000" w:themeColor="text1"/>
                <w:sz w:val="18"/>
                <w:szCs w:val="18"/>
              </w:rPr>
              <w:t>No</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7E1A4E3F" w:rsidR="00F07AAC" w:rsidRPr="00AB3964" w:rsidRDefault="005F466A" w:rsidP="00D0789F">
            <w:pPr>
              <w:tabs>
                <w:tab w:val="left" w:pos="810"/>
              </w:tabs>
              <w:rPr>
                <w:color w:val="000000" w:themeColor="text1"/>
                <w:sz w:val="18"/>
                <w:szCs w:val="18"/>
              </w:rPr>
            </w:pPr>
            <w:r w:rsidRPr="00AB3964">
              <w:rPr>
                <w:color w:val="000000" w:themeColor="text1"/>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689EFF10" w:rsidR="00F07AAC" w:rsidRPr="002E0918" w:rsidRDefault="005F466A"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00055A16" w:rsidR="00F07AAC" w:rsidRPr="002E0918" w:rsidRDefault="005F466A"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6EEC6910" w:rsidR="00F07AAC" w:rsidRPr="002E0918" w:rsidRDefault="005F466A"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3148E610" w:rsidR="00F07AAC" w:rsidRPr="002E0918" w:rsidRDefault="005F466A"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7FB2FCBC" w:rsidR="008A7431" w:rsidRPr="002E0918" w:rsidRDefault="00BE73D0"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42B5FADB" w:rsidR="00F07AAC" w:rsidRPr="002E0918" w:rsidRDefault="005F466A"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41FCFBC2"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p>
        </w:tc>
        <w:tc>
          <w:tcPr>
            <w:tcW w:w="833" w:type="dxa"/>
            <w:shd w:val="clear" w:color="auto" w:fill="auto"/>
          </w:tcPr>
          <w:p w14:paraId="70EBCB75" w14:textId="00B9B88D" w:rsidR="00F07AAC" w:rsidRPr="00310835" w:rsidRDefault="005F466A" w:rsidP="00D0789F">
            <w:pPr>
              <w:rPr>
                <w:rFonts w:eastAsia="Times New Roman"/>
                <w:sz w:val="18"/>
                <w:szCs w:val="18"/>
              </w:rPr>
            </w:pPr>
            <w:r>
              <w:rPr>
                <w:rFonts w:eastAsia="Times New Roman"/>
                <w:sz w:val="18"/>
                <w:szCs w:val="18"/>
              </w:rPr>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lastRenderedPageBreak/>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433EDF2" w:rsidR="00F07AAC" w:rsidRPr="00310835" w:rsidRDefault="005F466A"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30296C87" w:rsidR="00F07AAC" w:rsidRPr="00310835" w:rsidRDefault="005F466A"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57952979" w:rsidR="00C32720" w:rsidRPr="00310835" w:rsidRDefault="005F466A"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0952E0CF" w:rsidR="00F07AAC" w:rsidRPr="00310835" w:rsidRDefault="005F466A"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1BC43440" w:rsidR="00F07AAC" w:rsidRPr="00310835" w:rsidRDefault="005F466A"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37ADE4B7" w:rsidR="00F07AAC" w:rsidRPr="00310835" w:rsidRDefault="005F466A"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23FE1B60" w:rsidR="00F07AAC" w:rsidRPr="00310835" w:rsidRDefault="005F466A"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7B5C9737"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7A71C321"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0BA68973" w14:textId="2F23AABC" w:rsidR="00F07AAC" w:rsidRPr="00AB3964" w:rsidRDefault="00F07AAC" w:rsidP="00AB3964">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tc>
        <w:tc>
          <w:tcPr>
            <w:tcW w:w="833" w:type="dxa"/>
            <w:tcBorders>
              <w:bottom w:val="single" w:sz="4" w:space="0" w:color="auto"/>
            </w:tcBorders>
            <w:shd w:val="clear" w:color="auto" w:fill="auto"/>
          </w:tcPr>
          <w:p w14:paraId="0EF3B2C2" w14:textId="36F0D895"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48110599"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257B1284"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56005E2" w14:textId="57513016" w:rsidR="00F07AAC" w:rsidRPr="00310835" w:rsidRDefault="00F07AAC" w:rsidP="00AB3964">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tc>
        <w:tc>
          <w:tcPr>
            <w:tcW w:w="833" w:type="dxa"/>
            <w:tcBorders>
              <w:bottom w:val="single" w:sz="4" w:space="0" w:color="auto"/>
            </w:tcBorders>
            <w:shd w:val="clear" w:color="auto" w:fill="auto"/>
          </w:tcPr>
          <w:p w14:paraId="2FCE8D70" w14:textId="01928D91"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32FE6142"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06898FFC"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5B118051"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17075395"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1536733D"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5BE9F3BE"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lastRenderedPageBreak/>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4C6AB9D6"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7546D65A"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6B512CA1"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02310C84"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2C5933D1"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3E3749B1"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71357006"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6527C866"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284E3737"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7AE8B1A5"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4BF40FE9"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w:t>
            </w:r>
          </w:p>
        </w:tc>
      </w:tr>
      <w:tr w:rsidR="00F07AAC" w:rsidRPr="00310835" w14:paraId="2015B0FC" w14:textId="77777777" w:rsidTr="00E603E0">
        <w:tc>
          <w:tcPr>
            <w:tcW w:w="8635" w:type="dxa"/>
            <w:tcBorders>
              <w:bottom w:val="single" w:sz="4" w:space="0" w:color="auto"/>
            </w:tcBorders>
            <w:shd w:val="clear" w:color="auto" w:fill="auto"/>
          </w:tcPr>
          <w:p w14:paraId="49EC9328" w14:textId="064168C0" w:rsidR="00C01EFE" w:rsidRPr="00AB3964" w:rsidRDefault="00F07AAC" w:rsidP="00AB3964">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tc>
        <w:tc>
          <w:tcPr>
            <w:tcW w:w="833" w:type="dxa"/>
            <w:tcBorders>
              <w:bottom w:val="single" w:sz="4" w:space="0" w:color="auto"/>
            </w:tcBorders>
            <w:shd w:val="clear" w:color="auto" w:fill="auto"/>
          </w:tcPr>
          <w:p w14:paraId="13D65208" w14:textId="6D1338FB"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157DDF23"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8E5EF33"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481634D2"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16F52619"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55C33D56"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lastRenderedPageBreak/>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3E14E52F"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192B0332" w:rsidR="00F07AAC" w:rsidRPr="00310835" w:rsidRDefault="005F466A" w:rsidP="00D0789F">
            <w:pPr>
              <w:rPr>
                <w:rFonts w:eastAsia="Times New Roman"/>
                <w:sz w:val="18"/>
                <w:szCs w:val="18"/>
              </w:rPr>
            </w:pPr>
            <w:r>
              <w:rPr>
                <w:rFonts w:eastAsia="Times New Roman"/>
                <w:sz w:val="18"/>
                <w:szCs w:val="18"/>
              </w:rPr>
              <w:t>Yes (</w:t>
            </w:r>
            <w:r w:rsidRPr="005F466A">
              <w:rPr>
                <w:rFonts w:eastAsia="Times New Roman"/>
                <w:sz w:val="13"/>
                <w:szCs w:val="18"/>
              </w:rPr>
              <w:t>minimum)</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02273F93" w:rsidR="00F07AAC" w:rsidRPr="00310835" w:rsidRDefault="005F466A"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6A8C947C" w14:textId="1D77B97E" w:rsidR="00F07AAC" w:rsidRPr="00310835" w:rsidRDefault="00F07AAC" w:rsidP="00AB3964">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tc>
        <w:tc>
          <w:tcPr>
            <w:tcW w:w="833" w:type="dxa"/>
            <w:tcBorders>
              <w:bottom w:val="single" w:sz="4" w:space="0" w:color="auto"/>
            </w:tcBorders>
            <w:shd w:val="clear" w:color="auto" w:fill="auto"/>
          </w:tcPr>
          <w:p w14:paraId="2E2958A7" w14:textId="476B6D0E" w:rsidR="00F07AAC" w:rsidRPr="00310835" w:rsidRDefault="005F466A"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5BBB0785"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3366FA1C" w:rsidR="00F07AAC" w:rsidRPr="00310835" w:rsidRDefault="005F466A"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FAE8C" w14:textId="77777777" w:rsidR="00AA67F2" w:rsidRDefault="00AA67F2" w:rsidP="00323A56">
      <w:r>
        <w:separator/>
      </w:r>
    </w:p>
  </w:endnote>
  <w:endnote w:type="continuationSeparator" w:id="0">
    <w:p w14:paraId="0408A4E9" w14:textId="77777777" w:rsidR="00AA67F2" w:rsidRDefault="00AA67F2"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Gill Sans">
    <w:charset w:val="B1"/>
    <w:family w:val="swiss"/>
    <w:pitch w:val="variable"/>
    <w:sig w:usb0="80000A67" w:usb1="00000000" w:usb2="00000000" w:usb3="00000000" w:csb0="000001F7" w:csb1="00000000"/>
  </w:font>
  <w:font w:name="Lucida Grande">
    <w:charset w:val="00"/>
    <w:family w:val="swiss"/>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25A9" w14:textId="77777777" w:rsidR="00AA67F2" w:rsidRDefault="00AA67F2" w:rsidP="00323A56">
      <w:r>
        <w:separator/>
      </w:r>
    </w:p>
  </w:footnote>
  <w:footnote w:type="continuationSeparator" w:id="0">
    <w:p w14:paraId="196F55BB" w14:textId="77777777" w:rsidR="00AA67F2" w:rsidRDefault="00AA67F2" w:rsidP="00323A56">
      <w:r>
        <w:continuationSeparator/>
      </w:r>
    </w:p>
  </w:footnote>
  <w:footnote w:id="1">
    <w:p w14:paraId="615D3E1A" w14:textId="77777777" w:rsidR="00683593" w:rsidRPr="00BC30D4" w:rsidRDefault="00683593" w:rsidP="006C7126">
      <w:pPr>
        <w:pStyle w:val="FootnoteText"/>
        <w:rPr>
          <w:sz w:val="16"/>
        </w:rPr>
      </w:pPr>
      <w:r w:rsidRPr="00BC30D4">
        <w:rPr>
          <w:rStyle w:val="FootnoteReference"/>
          <w:sz w:val="16"/>
        </w:rPr>
        <w:footnoteRef/>
      </w:r>
      <w:r w:rsidRPr="00BC30D4">
        <w:rPr>
          <w:sz w:val="16"/>
        </w:rPr>
        <w:t xml:space="preserve"> Prohibited </w:t>
      </w:r>
      <w:r w:rsidRPr="00BC30D4">
        <w:rPr>
          <w:sz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BC30D4">
        <w:rPr>
          <w:sz w:val="16"/>
        </w:rPr>
        <w:t>References to “women and men” or similar is understood to include women and men, boys and girls, and other groups discriminated against based on their gender identities, such as transgender people and transsexuals.</w:t>
      </w:r>
    </w:p>
  </w:footnote>
  <w:footnote w:id="2">
    <w:p w14:paraId="51244BE1" w14:textId="4F6506F3" w:rsidR="00683593" w:rsidRPr="00BC30D4" w:rsidRDefault="00683593" w:rsidP="00AC56E1">
      <w:pPr>
        <w:spacing w:before="60" w:after="60"/>
        <w:rPr>
          <w:sz w:val="16"/>
          <w:szCs w:val="18"/>
        </w:rPr>
      </w:pPr>
      <w:r w:rsidRPr="00BC30D4">
        <w:rPr>
          <w:sz w:val="18"/>
          <w:vertAlign w:val="superscript"/>
        </w:rPr>
        <w:footnoteRef/>
      </w:r>
      <w:r w:rsidRPr="00BC30D4">
        <w:rPr>
          <w:sz w:val="16"/>
          <w:szCs w:val="18"/>
        </w:rPr>
        <w:t xml:space="preserve"> In regards to CO</w:t>
      </w:r>
      <w:r w:rsidRPr="00BC30D4">
        <w:rPr>
          <w:sz w:val="16"/>
          <w:szCs w:val="18"/>
          <w:vertAlign w:val="subscript"/>
        </w:rPr>
        <w:t>2</w:t>
      </w:r>
      <w:r w:rsidR="00655C9A" w:rsidRPr="00BC30D4">
        <w:rPr>
          <w:sz w:val="16"/>
          <w:szCs w:val="18"/>
          <w:vertAlign w:val="subscript"/>
        </w:rPr>
        <w:t>,</w:t>
      </w:r>
      <w:r w:rsidRPr="00BC30D4">
        <w:rPr>
          <w:sz w:val="16"/>
          <w:szCs w:val="18"/>
        </w:rPr>
        <w:t xml:space="preserve"> ‘significant emissions’ corresponds generally to </w:t>
      </w:r>
      <w:r w:rsidRPr="00AB3964">
        <w:rPr>
          <w:b/>
          <w:sz w:val="16"/>
          <w:szCs w:val="18"/>
        </w:rPr>
        <w:t>more than 25,000 tons per year</w:t>
      </w:r>
      <w:r w:rsidRPr="00BC30D4">
        <w:rPr>
          <w:sz w:val="16"/>
          <w:szCs w:val="18"/>
        </w:rPr>
        <w:t xml:space="preserve"> (from both direct and indirect sources]</w:t>
      </w:r>
      <w:r w:rsidR="00BC30D4">
        <w:rPr>
          <w:sz w:val="16"/>
          <w:szCs w:val="18"/>
        </w:rPr>
        <w:t>.</w:t>
      </w:r>
    </w:p>
  </w:footnote>
  <w:footnote w:id="3">
    <w:p w14:paraId="787FC7CF" w14:textId="77777777" w:rsidR="00683593" w:rsidRPr="00BC30D4" w:rsidRDefault="00683593" w:rsidP="005D1EBB">
      <w:pPr>
        <w:pStyle w:val="FootnoteText"/>
        <w:rPr>
          <w:sz w:val="16"/>
        </w:rPr>
      </w:pPr>
      <w:r w:rsidRPr="00BC30D4">
        <w:rPr>
          <w:rStyle w:val="FootnoteReference"/>
          <w:sz w:val="16"/>
        </w:rPr>
        <w:footnoteRef/>
      </w:r>
      <w:r w:rsidRPr="00BC30D4">
        <w:rPr>
          <w:sz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9C5"/>
    <w:multiLevelType w:val="hybridMultilevel"/>
    <w:tmpl w:val="456A4728"/>
    <w:lvl w:ilvl="0" w:tplc="6856408E">
      <w:numFmt w:val="bullet"/>
      <w:lvlText w:val="-"/>
      <w:lvlJc w:val="left"/>
      <w:pPr>
        <w:ind w:left="440" w:hanging="44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B7F"/>
    <w:multiLevelType w:val="hybridMultilevel"/>
    <w:tmpl w:val="7ED4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92846"/>
    <w:multiLevelType w:val="hybridMultilevel"/>
    <w:tmpl w:val="F9327B4A"/>
    <w:lvl w:ilvl="0" w:tplc="6856408E">
      <w:numFmt w:val="bullet"/>
      <w:lvlText w:val="-"/>
      <w:lvlJc w:val="left"/>
      <w:pPr>
        <w:ind w:left="800" w:hanging="44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0"/>
  </w:num>
  <w:num w:numId="5">
    <w:abstractNumId w:val="14"/>
  </w:num>
  <w:num w:numId="6">
    <w:abstractNumId w:val="19"/>
  </w:num>
  <w:num w:numId="7">
    <w:abstractNumId w:val="18"/>
  </w:num>
  <w:num w:numId="8">
    <w:abstractNumId w:val="11"/>
  </w:num>
  <w:num w:numId="9">
    <w:abstractNumId w:val="16"/>
  </w:num>
  <w:num w:numId="10">
    <w:abstractNumId w:val="13"/>
  </w:num>
  <w:num w:numId="11">
    <w:abstractNumId w:val="8"/>
  </w:num>
  <w:num w:numId="12">
    <w:abstractNumId w:val="20"/>
  </w:num>
  <w:num w:numId="13">
    <w:abstractNumId w:val="6"/>
  </w:num>
  <w:num w:numId="14">
    <w:abstractNumId w:val="5"/>
  </w:num>
  <w:num w:numId="15">
    <w:abstractNumId w:val="7"/>
  </w:num>
  <w:num w:numId="16">
    <w:abstractNumId w:val="10"/>
  </w:num>
  <w:num w:numId="17">
    <w:abstractNumId w:val="12"/>
  </w:num>
  <w:num w:numId="18">
    <w:abstractNumId w:val="2"/>
  </w:num>
  <w:num w:numId="19">
    <w:abstractNumId w:val="14"/>
  </w:num>
  <w:num w:numId="20">
    <w:abstractNumId w:val="9"/>
  </w:num>
  <w:num w:numId="21">
    <w:abstractNumId w:val="17"/>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466A"/>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CD3"/>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2856"/>
    <w:rsid w:val="0079345B"/>
    <w:rsid w:val="00793B1B"/>
    <w:rsid w:val="007949E4"/>
    <w:rsid w:val="0079633B"/>
    <w:rsid w:val="00796EE6"/>
    <w:rsid w:val="007A01C8"/>
    <w:rsid w:val="007A02F2"/>
    <w:rsid w:val="007A066D"/>
    <w:rsid w:val="007A0ADF"/>
    <w:rsid w:val="007A1C1F"/>
    <w:rsid w:val="007A1FC8"/>
    <w:rsid w:val="007A2033"/>
    <w:rsid w:val="007A2F17"/>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172"/>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200C"/>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0733"/>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5C86"/>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67F2"/>
    <w:rsid w:val="00AA7EA2"/>
    <w:rsid w:val="00AB03ED"/>
    <w:rsid w:val="00AB21E6"/>
    <w:rsid w:val="00AB2DB9"/>
    <w:rsid w:val="00AB3964"/>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30D4"/>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E73D0"/>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23D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3EBA"/>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0FE3"/>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librarypage/operations1/undp-social-and-environmental-screening-procedure.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d4137b-41b2-488b-8250-6d369ec27664">
      <Value>1691</Value>
      <Value>1110</Value>
      <Value>1</Value>
      <Value>763</Value>
    </TaxCatchAll>
    <_dlc_DocId xmlns="f1161f5b-24a3-4c2d-bc81-44cb9325e8ee">ATLASPDC-4-108523</_dlc_DocId>
    <_dlc_DocIdUrl xmlns="f1161f5b-24a3-4c2d-bc81-44cb9325e8ee">
      <Url>https://info.undp.org/docs/pdc/_layouts/DocIdRedir.aspx?ID=ATLASPDC-4-108523</Url>
      <Description>ATLASPDC-4-108523</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2019-11-15T14:00:00+00:00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00102396</UndpProjectNo>
    <UndpDocStatus xmlns="1ed4137b-41b2-488b-8250-6d369ec27664">Final</UndpDocStatus>
    <Outcome1 xmlns="f1161f5b-24a3-4c2d-bc81-44cb9325e8ee">00115372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EA33F-2418-4ACD-984F-AEF4D0E9E2D3}">
  <ds:schemaRefs>
    <ds:schemaRef ds:uri="http://schemas.microsoft.com/sharepoint/events"/>
  </ds:schemaRefs>
</ds:datastoreItem>
</file>

<file path=customXml/itemProps2.xml><?xml version="1.0" encoding="utf-8"?>
<ds:datastoreItem xmlns:ds="http://schemas.openxmlformats.org/officeDocument/2006/customXml" ds:itemID="{B43D7380-CDE7-4720-8C00-D90CB76D5D20}"/>
</file>

<file path=customXml/itemProps3.xml><?xml version="1.0" encoding="utf-8"?>
<ds:datastoreItem xmlns:ds="http://schemas.openxmlformats.org/officeDocument/2006/customXml" ds:itemID="{47D4E49C-C581-42E3-8795-B644616DED4B}"/>
</file>

<file path=customXml/itemProps4.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6.xml><?xml version="1.0" encoding="utf-8"?>
<ds:datastoreItem xmlns:ds="http://schemas.openxmlformats.org/officeDocument/2006/customXml" ds:itemID="{8A9B0E6C-8603-4F80-B6C2-E0F46132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 Template ENGLISH</dc:title>
  <dc:subject/>
  <dc:creator>Bruce Jenkins</dc:creator>
  <cp:lastModifiedBy>Yuka Heya</cp:lastModifiedBy>
  <cp:revision>2</cp:revision>
  <cp:lastPrinted>2014-12-09T19:35:00Z</cp:lastPrinted>
  <dcterms:created xsi:type="dcterms:W3CDTF">2019-11-11T14:55:00Z</dcterms:created>
  <dcterms:modified xsi:type="dcterms:W3CDTF">2019-11-11T14:55:00Z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POPPBusinessProcess">
    <vt:lpwstr/>
  </property>
  <property fmtid="{D5CDD505-2E9C-101B-9397-08002B2CF9AE}" pid="4" name="UNDP_POPP_BUSINESSUNIT">
    <vt:lpwstr>2;#Programme and Project Management|dea4c69a-7909-43f6-8de1-50c95d5a9f3f</vt:lpwstr>
  </property>
  <property fmtid="{D5CDD505-2E9C-101B-9397-08002B2CF9AE}" pid="5" name="_dlc_DocIdItemGuid">
    <vt:lpwstr>6740396f-fecf-42f3-8296-89264b58f827</vt:lpwstr>
  </property>
  <property fmtid="{D5CDD505-2E9C-101B-9397-08002B2CF9AE}" pid="6" name="UNDPCountry">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1691;#UKR|ac2a8763-b8b1-4ebb-b99d-0d83724bc392</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TypeMM">
    <vt:lpwstr/>
  </property>
  <property fmtid="{D5CDD505-2E9C-101B-9397-08002B2CF9AE}" pid="16" name="DocumentSetDescription">
    <vt:lpwstr/>
  </property>
  <property fmtid="{D5CDD505-2E9C-101B-9397-08002B2CF9AE}" pid="17" name="UnitTaxHTField0">
    <vt:lpwstr/>
  </property>
  <property fmtid="{D5CDD505-2E9C-101B-9397-08002B2CF9AE}" pid="18" name="Unit">
    <vt:lpwstr/>
  </property>
  <property fmtid="{D5CDD505-2E9C-101B-9397-08002B2CF9AE}" pid="19" name="URL">
    <vt:lpwstr/>
  </property>
</Properties>
</file>